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7" w:rsidRPr="00876BE7" w:rsidRDefault="00876BE7" w:rsidP="00876BE7">
      <w:pPr>
        <w:spacing w:after="177" w:line="598" w:lineRule="atLeast"/>
        <w:outlineLvl w:val="0"/>
        <w:rPr>
          <w:rFonts w:ascii="Playfair Display" w:eastAsia="Times New Roman" w:hAnsi="Playfair Display" w:cs="Times New Roman"/>
          <w:color w:val="030303"/>
          <w:spacing w:val="7"/>
          <w:kern w:val="36"/>
          <w:sz w:val="54"/>
          <w:szCs w:val="54"/>
          <w:lang w:eastAsia="ru-RU"/>
        </w:rPr>
      </w:pPr>
      <w:r w:rsidRPr="00876BE7">
        <w:rPr>
          <w:rFonts w:ascii="Playfair Display" w:eastAsia="Times New Roman" w:hAnsi="Playfair Display" w:cs="Times New Roman"/>
          <w:color w:val="030303"/>
          <w:spacing w:val="7"/>
          <w:kern w:val="36"/>
          <w:sz w:val="54"/>
          <w:szCs w:val="54"/>
          <w:lang w:eastAsia="ru-RU"/>
        </w:rPr>
        <w:t>Методические рекомендации по организации и проведению Всероссийского конкурса исследовательских проектов «Без срока давности»</w:t>
      </w:r>
    </w:p>
    <w:p w:rsidR="00876BE7" w:rsidRPr="00876BE7" w:rsidRDefault="00876BE7" w:rsidP="00876BE7">
      <w:pPr>
        <w:spacing w:line="240" w:lineRule="auto"/>
        <w:rPr>
          <w:rFonts w:ascii="Playfair Display" w:eastAsia="Times New Roman" w:hAnsi="Playfair Display" w:cs="Times New Roman"/>
          <w:i/>
          <w:iCs/>
          <w:szCs w:val="24"/>
          <w:lang w:eastAsia="ru-RU"/>
        </w:rPr>
      </w:pPr>
      <w:r w:rsidRPr="00876BE7">
        <w:rPr>
          <w:rFonts w:ascii="Playfair Display" w:eastAsia="Times New Roman" w:hAnsi="Playfair Display" w:cs="Times New Roman"/>
          <w:i/>
          <w:iCs/>
          <w:color w:val="A1A1A1"/>
          <w:szCs w:val="24"/>
          <w:lang w:eastAsia="ru-RU"/>
        </w:rPr>
        <w:t>25.02.2022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>
        <w:rPr>
          <w:rFonts w:ascii="Open Sans" w:eastAsia="Times New Roman" w:hAnsi="Open Sans" w:cs="Times New Roman"/>
          <w:noProof/>
          <w:color w:val="464646"/>
          <w:sz w:val="20"/>
          <w:szCs w:val="20"/>
          <w:lang w:eastAsia="ru-RU"/>
        </w:rPr>
        <w:drawing>
          <wp:inline distT="0" distB="0" distL="0" distR="0">
            <wp:extent cx="3131185" cy="2665730"/>
            <wp:effectExtent l="19050" t="0" r="0" b="0"/>
            <wp:docPr id="1" name="Рисунок 1" descr="https://ec.memory45.su/wp-content/uploads/sites/5/2022/02/logotip-konkursa-issledovatelskih-proektov-bez-nazvaniya-30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memory45.su/wp-content/uploads/sites/5/2022/02/logotip-konkursa-issledovatelskih-proektov-bez-nazvaniya-300x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b/>
          <w:bCs/>
          <w:color w:val="000000"/>
          <w:sz w:val="20"/>
          <w:lang w:eastAsia="ru-RU"/>
        </w:rPr>
        <w:t>Методические рекомендации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по организации и проведению Всероссийского конкурса исследовательских проектов «Без срока давности» среди обучающихся 8–11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 (далее – Конкурс)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 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b/>
          <w:bCs/>
          <w:color w:val="464646"/>
          <w:sz w:val="20"/>
          <w:lang w:eastAsia="ru-RU"/>
        </w:rPr>
        <w:t>Общие положения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Конкурс проводится Министерством просвещения Российской Федерации (далее – учредитель Конкурса) совместно с органами исполнительной власти субъектов Российской Федерации, осуществляющими государственное управление в сфере образования. 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Информационно-методическое сопровождение организации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проведения Конкурса осуществляется на официальном сайте образовательно-просветительских мероприятий проекта «Без срока давности» https://ec.memory45.su в информационно-телекоммуникационной сети «Интернет» (далее – сайт Конкурса).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Порядок организации и проведения Конкурса определяет Положение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 xml:space="preserve">о Всероссийском конкурсе исследовательских проектов «Без срока давности» среди обучающихся 8–11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lastRenderedPageBreak/>
        <w:t xml:space="preserve">программы среднего профессионального образования, в 2021-2022 учебном году, утвержденное приказом </w:t>
      </w:r>
      <w:proofErr w:type="spell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Минпросвещения</w:t>
      </w:r>
      <w:proofErr w:type="spell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России от 11 декабря 2022 г. № 71 (далее – Положение).</w:t>
      </w:r>
      <w:proofErr w:type="gramEnd"/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Организатор I этапа Конкурса в субъекте Российской Федерации назначается органом исполнительной власти субъекта Российской Федерации, осуществляющим государственное управление в сфере образования, из числа работников образовательных организаций имеющих ученую степень кандидата (доктора) исторических или педагогических наук и (или) ведомственные награды 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 (далее – Организатор).</w:t>
      </w:r>
      <w:proofErr w:type="gramEnd"/>
    </w:p>
    <w:p w:rsidR="00876BE7" w:rsidRPr="00876BE7" w:rsidRDefault="00876BE7" w:rsidP="00876BE7">
      <w:pPr>
        <w:shd w:val="clear" w:color="auto" w:fill="FFFFFF"/>
        <w:spacing w:after="204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b/>
          <w:bCs/>
          <w:color w:val="464646"/>
          <w:sz w:val="20"/>
          <w:lang w:eastAsia="ru-RU"/>
        </w:rPr>
        <w:t>Тематика исследовательских проектов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 Конкурсе принимают участие команды образовательных организаций, состоящие из не более 3 обучающихся 8–11 классов общеобразовательных организаций (школы, гимназии, лицея) или обучающихся профессиональных образовательных организаций (колледжей, техникумов) и куратор проекта (учитель, педагог, преподаватель образовательной организации) – проектные группы.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Выбор подпрограммы осуществляется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обучающимися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куратором проекта самостоятельно.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Участникам Конкурса предлагается реализовать исследовательские проекты в рамках следующих подпрограмм.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Архивные документы и периодическая печать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 данной подпрограмме проектной группе необходимо найти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исследовать с помощью электронных баз данных (</w:t>
      </w:r>
      <w:hyperlink r:id="rId6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https://historyrussia.org/tsekh-istorikov/archives.html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, </w:t>
      </w:r>
      <w:hyperlink r:id="rId7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https://pobeda.elar.ru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, </w:t>
      </w:r>
      <w:hyperlink r:id="rId8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http://oldgazette.ru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) и местных архивов события, происходившие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с представителями мирного населения СССР во время Великой Отечественной войны 1941-1945 гг. ‒ эвакуация, бегство с оккупированных территорий, восприятие нацистских преступлений, коллаборационизм, тяготы быта, ненасильственное противостояние оккупантам, движение подпольщиков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, партизанское движение, сохранение личного достоинства, убеждений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 xml:space="preserve">и принципов в пекле войны с целью воспринять глубину и масштаб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трагедии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и мужество народов СССР через истории отдельных его представителей.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Примеры названий проектов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Статистика убыли населения оккупированных территорий как доказательство виновности нацистских преступников на Нюрнбергском процессе.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Фиксация нацистских преступлений во фронтовой периодике.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Эвакуация, как это было? Реконструкция на материалах архивов.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Форма представления: видеоролик на основе анализа не менее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3 архивных документов и (или) публикаций в периодической печати.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Источники личного происхождения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 данной подпрограмме проектная группа на основе анализа дневников, писем и т.д. (https://prozhito.org, </w:t>
      </w:r>
      <w:hyperlink r:id="rId9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https://iremember.ru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, </w:t>
      </w:r>
      <w:hyperlink r:id="rId10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http://fotohroniki.ru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) реконструирует картину оккупации, плена и нацистских преступлений, увиденных и зафиксированных гражданским населением оккупированных территорий и советского тыла. Обучающиеся фиксируют влияние этих событий на их личные убеждения, моральные принципы и мировоззрение.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Примеры названий проектов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Повседневность оккупации на основе дневников очевидцев.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«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Наши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в городе!» Впечатления о минуте освобождения в источниках личного происхождения.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Форма представления: видеоролик на основе анализа не менее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3 мемуаров, дневников и (или) писем.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Произведения искусства военных лет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lastRenderedPageBreak/>
        <w:t>В данной подпрограмме проектная группа исследует массив объектов культуры (</w:t>
      </w:r>
      <w:hyperlink r:id="rId11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https://waralbum.ru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 , </w:t>
      </w:r>
      <w:hyperlink r:id="rId12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http://militera.lib.ru</w:t>
        </w:r>
      </w:hyperlink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 )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, в качестве продукта рефлексии широкого военного опыта художника, его наблюдений за жизнью людей в этих обстоятельствах, его восприятия войны и своей роли в ней.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Примеры названий проектов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Отражение трагедии советского народа в годы войны в поэзии писателей-фронтовиков.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Жизнь и подвиг тыла в советской живописи.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Форма представления: видеоролик на основе анализа не менее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3 произведений одного или нескольких видов искусства (литературы, живописи, графики, скульптуры, массовой песни, театра и кино) периода войны.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Военная хроника и отечественный кинематограф послевоенных лет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 данной подпрограмме проектной группой исследуется наследие кинематографа (</w:t>
      </w:r>
      <w:hyperlink r:id="rId13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https://www.youtube.com/c/MosfilmRuOfficial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, </w:t>
      </w:r>
      <w:hyperlink r:id="rId14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https://www.youtube.com/channel/UCxRA30zJ2h9Cue_sInNUQlQ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, </w:t>
      </w:r>
      <w:hyperlink r:id="rId15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https://www.culture.ru/live/cinema/movies/country-sssr/genre-voenniy?page=1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)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в котором отражены события, происходившие с мирным населением, описаны подвиги простых людей, даны примеры испытания духа человека в условиях плена и оккупации, подвигов труда в тылу и возвращения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к мирной жизни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на освобождённых территориях, посттравматического синдрома, восстановления справедливости, попранной войной.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Примеры названий проектов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Как остаться личностью? Советское кино о жизни в нацистских концентрационных лагерях.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«Я знаю, никакой моей вины…» образ вернувшегося с войны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в советском «оттепельном» кино.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Форма представления: видеоролик на основе анализа не менее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3 произведений советских и (или) постсоветских художественных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документальных фильмов.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Памятные объекты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 данной подпрограмме проектная группа осуществляет поиск (</w:t>
      </w:r>
      <w:hyperlink r:id="rId16" w:history="1">
        <w:r w:rsidRPr="00876BE7">
          <w:rPr>
            <w:rFonts w:ascii="Open Sans" w:eastAsia="Times New Roman" w:hAnsi="Open Sans" w:cs="Times New Roman"/>
            <w:color w:val="203983"/>
            <w:sz w:val="20"/>
            <w:u w:val="single"/>
            <w:lang w:eastAsia="ru-RU"/>
          </w:rPr>
          <w:t>http://pomnite-nas.ru</w:t>
        </w:r>
      </w:hyperlink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) и реконструкцию </w:t>
      </w:r>
      <w:proofErr w:type="spell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коммеморативной</w:t>
      </w:r>
      <w:proofErr w:type="spell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политики (политики памяти) в СССР, раскрывает политическое, художественное, образовательное значение мемориалов и памятников, реконструирует обстоятельства их возведения, работу общественных деятелей по поиску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увековечиванию жертв нацизма.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Примеры названий проектов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Процесс увековечивания памяти о трагедии мирного населения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в мемориальных комплексах на местах нацистских концентрационных лагерей.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Образ советского человека — труженика тыла в мемориальном искусстве.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Дети войны в мемориальном искусстве.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Форма представления: видеоролик на основе анализа не менее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3 мемориальных комплексов и (или) памятников (памятных знаков, досок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т.п.).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t>Результаты опросов граждан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В данной подпрограмме проектная группа раскрывает современное состояние в общественном </w:t>
      </w:r>
      <w:proofErr w:type="spell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дискурсе</w:t>
      </w:r>
      <w:proofErr w:type="spell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тем, связанных с судьбой мирного населения СССР в годы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В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торой Мировой Войны, отношения людей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к отдельным её аспектам и феноменам. Участники Конкурса создают картину представлений о войне, сложившуюся у разных поколений семьи, на основе рассказов старших родственников, семейных реликвий.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i/>
          <w:iCs/>
          <w:color w:val="464646"/>
          <w:sz w:val="20"/>
          <w:lang w:eastAsia="ru-RU"/>
        </w:rPr>
        <w:lastRenderedPageBreak/>
        <w:t>Примеры названий проектов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Семейная хроника Великой Отечественной войны (на основе семейных реликвий и преданий).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Отношение к советским и современным памятникам, посвящённым Великой Отечественной войне (сравнительный опрос).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Форма представления: видеоролик на основе интервью или анкетирования нескольких сверстников, родственников и (или) очевидцев изучаемых событий на тему изучения семейных историй, оценки тех или иных событий, произведений, памятников и т.п.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b/>
          <w:bCs/>
          <w:color w:val="464646"/>
          <w:sz w:val="20"/>
          <w:lang w:eastAsia="ru-RU"/>
        </w:rPr>
        <w:t>Реализация исследовательских проектов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Исследовательские проекты реализуются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обучающимися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и куратором проекта по следующему алгоритму: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1) распределение куратором проекта конкретных этапов работ между обучающимися данной образовательной организации – участниками Конкурса;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2) подбор источников для сравнительного анализа (не менее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3 источников, соответствующих выбранной подпрограмме и посвященных одним и тем же событиям, произведениям, памятникам, либо проведение интервью или анкетирования не менее 10 человек; в каждой из подпрограмм участники Конкурса могут использовать в качестве вспомогательных источников артефакты материальной культуры из музейных или частных коллекций).</w:t>
      </w:r>
      <w:proofErr w:type="gramEnd"/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На данном этапе куратору рекомендуется: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1) ознакомить участников проектной группы с темой проекта, вызвать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у них познавательный интерес;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2) сформулировать учебную проблему, продемонстрировать противоречия, требующие разрешения;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3) сформулировать, совместно с участниками, цели и задачи будущего исследования;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4) для погружения в тему предложить набор исторических источников;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5) предложить выполнить задания, направленные на формирование базовых «вопросов к источнику» составляющих основу анализа исторических источников, обучить последовательности их выполнения в процессе работы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с источниками.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3) осуществить внутреннюю критику (изучение содержания) источников.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На этом этапе куратору необходимо побудить участников (посредством создания проблемной ситуации) к извлечению максимального количества информации о прошлом из исторического источника и провести их первичную систематизацию на два типа фактов: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1 – извлечение явных фактов;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2 – извлечение «скрытых» (неочевидных).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На втором этапе куратору необходимо провести совместную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с обучающимися интерпретацию установленных исторических фактов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(в форме дискуссии), в контексте задач исследования: осмыслить установленные факты и объяснить с их помощью события прошлого.</w:t>
      </w:r>
      <w:proofErr w:type="gramEnd"/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4) установить происхождение источников (авторство, время, место и цель создания);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Куратор должен поддержать и скорректировать участников в их самостоятельной работе по уточнению и проверке сведений о происхождении источника на основе учебной и справочной исторической литературы: времени создания; месте создания; авторстве; обстоятельствах и цели создания источника; определение ценности и ограниченности источника для изучения конкретной темы.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5) определить степень привязанности источников к их происхождению (мировоззренческой позиции их авторов);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lastRenderedPageBreak/>
        <w:t xml:space="preserve">Куратором должна быть организована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дискуссия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в процессе которой участниками должно быть осуществлено место исторических фактов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в событийном и мировоззренческом контексте эпохи и личной биографии автора: (был ли автор сам очевидцем событий или руководствовался свидетельствами других, был ли в состоянии достоверно передать информацию, насколько время создания исторического источника отстоит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от событий в нём описанных, как это повлияло на их описание, какими идеями, культурными представлениями, стереотипами и предрассудками руководствовался автор, создавая текст и т. п.).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6) сравнить содержание источников;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На данном этапе куратору необходимо скорректировать работу участников проектной группы по следующему алгоритму: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выделить категорию в тематической структуре источника, на основе которого будет происходить сравнение, (описания однотипных событий упомянутых в источнике, мнения автора источника о том или ином событии, их описание и объяснение причин, условия создания исторического источника, образы и символика в художественных источниках т.д.).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выделить всю информацию по выбранной категории из всех источников.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интерпретировать полученную информацию, в контексте сходства/различия информации, обосновать свою точку зрения.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7) снять видеоролик (с последовательным отражением в нем выполнения перечисленных выше работ).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Во время работы над исследовательским проектом необходимо вести видео фиксацию ВСЕХ действий участников проекта.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Видеосъемка должна быть неотъемлемой частью каждого этапа работы над проектом для последующего монтажа видеоролика.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Каждый фрагмент (основная мысль фрагмента, за исключением интервью) не должен превышать 30‒45 секунд.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Алгоритм видеосъемки:</w:t>
      </w:r>
    </w:p>
    <w:p w:rsidR="00876BE7" w:rsidRPr="00876BE7" w:rsidRDefault="00876BE7" w:rsidP="0087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Планирование работы. Распределение обязанностей среди участников проекта (снять сюжет совещания активистов исследовательского проекта на базе школьного музея: озвучить цель и задачи исследования).</w:t>
      </w:r>
    </w:p>
    <w:p w:rsidR="00876BE7" w:rsidRPr="00876BE7" w:rsidRDefault="00876BE7" w:rsidP="00876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Работа с источниками.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2.1.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 архиве или библиотеке (Снять вход группы исследователей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в здание, в помещение; рабочее место исследователя с видом на изучаемые дела или подшивки документов.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При наличии как промежуточного,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так и конечного результата поиска – записать комментарий исследователя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о находке и ее значении для исследования)</w:t>
      </w:r>
      <w:proofErr w:type="gramEnd"/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2.2.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При проведении интервью (Снять вход исследователя в здание, квартиру, помещение с комментарием – к кому и с какой целью визит.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В кадре вместе с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интервьюируемым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должен находиться исследователь – участник проектной группы. Интервью проводить по плану с четко поставленными вопросами.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Интервьюируемый должен отвечать по возможности четко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по существу заданных вопросов).</w:t>
      </w:r>
      <w:proofErr w:type="gramEnd"/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2.3.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Изучение памятного объекта (Снять подход к объекту, указатели при наличии.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Комментарий на фоне объекта с описанием события, которому он посвящен. </w:t>
      </w: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Провести по возможности действия, направленные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на поддержание чистоты и порядка на объекте).</w:t>
      </w:r>
      <w:proofErr w:type="gramEnd"/>
    </w:p>
    <w:p w:rsidR="00876BE7" w:rsidRPr="00876BE7" w:rsidRDefault="00876BE7" w:rsidP="00876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Подведение итогов исследования (Перечислить изученные материалы, их количество и новизну, описать методы и технологии и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</w:r>
      <w:proofErr w:type="spell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х</w:t>
      </w:r>
      <w:proofErr w:type="spell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изучения).</w:t>
      </w:r>
    </w:p>
    <w:p w:rsidR="00876BE7" w:rsidRPr="00876BE7" w:rsidRDefault="00876BE7" w:rsidP="00876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Заключение (На видео куратор/проектная группа исследователей выражает свое отношение к теме исследования и возможность практического использования результатов исследования в образовательном процессе).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lastRenderedPageBreak/>
        <w:t>В части видеоролика, не связанной с интервьюированием, допускается использование синхронного закадрового текста.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b/>
          <w:bCs/>
          <w:color w:val="464646"/>
          <w:sz w:val="20"/>
          <w:lang w:eastAsia="ru-RU"/>
        </w:rPr>
        <w:t>Координаторы проекта «Без срока давности» в субъектах Российской Федерации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Координатор проекта «Без срока давности» в субъекте Российской Федерации (далее – Координатор) осуществляет следующие функции: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оформляет и направляет в адрес Оператора согласие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на обработку своих персональных данных;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обеспечивает информационную поддержку организации и проведения Конкурса среди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2021/2022 учебном году;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совместно с Организатором обеспечивает формирование состава жюри I этапа Конкурса и его утверждение рабочей группой по организации и проведения образовательных мероприятий проекта «Без срока давности» в субъекте Российской Федерации;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обеспечивает взаимодействие Организатора с жюри I этапа Конкурса по проведению организационно-методических семинаров для членов жюри I этапа Конкурса по обсуждению и </w:t>
      </w:r>
      <w:proofErr w:type="spell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согласовыванию</w:t>
      </w:r>
      <w:proofErr w:type="spell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с ними подходов к оцениванию исследовательских проектов в соответствии с критериями и показателями оценки;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в соответствии с Положением о Конкурсе координирует организацию и проведение I этапа Конкурса, обеспечивая экспертный отбор исследовательских проектов в субъекте Российской Федерации с учетом рекомендуемой тематики и на основе утвержденных критериев и показателей оценки проектов;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определяет сайт в информационно-телекоммуникационной сети «Интернет», на котором размещаются в открытом доступе видеоролики победителей I этапа Конкурса (по одному в каждой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из 6 подпрограмм, определенных Положением);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размещает в личных кабинетах на сайте Конкурса в срок до 15 апреля 2022 г. активные ссылки на видеоролики и сканированные копии заявки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на участие во II III этапах Конкурса на федеральном уровне и согласий на обработку персональных данных его участников</w:t>
      </w:r>
      <w:bookmarkStart w:id="0" w:name="_ftnref1"/>
      <w:r w:rsidR="00411F8B"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fldChar w:fldCharType="begin"/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instrText xml:space="preserve"> HYPERLINK "https://ec.memory45.su/blog/newshead/metodicheskie-rekomendaczii-po-organizaczii-i-provedeniyu-vserossijskogo-konkursa-issledovatelskih-proektov-bez-sroka-davnosti/" \l "_ftn1" </w:instrText>
      </w:r>
      <w:r w:rsidR="00411F8B"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fldChar w:fldCharType="separate"/>
      </w:r>
      <w:r w:rsidRPr="00876BE7">
        <w:rPr>
          <w:rFonts w:ascii="Open Sans" w:eastAsia="Times New Roman" w:hAnsi="Open Sans" w:cs="Times New Roman"/>
          <w:color w:val="203983"/>
          <w:sz w:val="20"/>
          <w:u w:val="single"/>
          <w:lang w:eastAsia="ru-RU"/>
        </w:rPr>
        <w:t>[1]</w:t>
      </w:r>
      <w:r w:rsidR="00411F8B"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fldChar w:fldCharType="end"/>
      </w:r>
      <w:bookmarkEnd w:id="0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осуществляет подготовку отчета о проведении I этапа Конкурса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в соответствии с предложенной Оператором формой.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Рабочая группа организации и проведения образовательно-просветительских мероприятий проекта «Без срока давности» в субъекте Российской Федерации осуществляет следующие функции: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утверждение положения о I этапе Конкурса в субъекте Российской Федерации;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утверждение состава жюри I этапа Конкурса;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согласование проведения организационно-методических семинаров для членов жюри I этапа Конкурса;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обеспечение предоставления информации о региональных мемориальных комплексах, музейных экспозициях, учреждениях, осуществляющих хранение открытых архивных документов и периодической печати военных и послевоенных лет в субъекте Российской Федерации;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обеспечение организационно-технического сопровождения работы жюри I этапа Конкурса;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подведение итогов I этапа Конкурса и награждение его победителей и призеров дипломами с логотипом Конкурса и по возможности призами;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привлечение партнеров Конкурса и средств массовой информации;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размещение информации об итогах проведения I этапа Конкурса на сайте органа исполнительной власти субъектов Российской Федерации, осуществляющего государственное управление в сфере образования.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center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b/>
          <w:bCs/>
          <w:color w:val="464646"/>
          <w:sz w:val="20"/>
          <w:lang w:eastAsia="ru-RU"/>
        </w:rPr>
        <w:t>Члены жюри Конкурса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proofErr w:type="gram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lastRenderedPageBreak/>
        <w:t>Члены жюри I этапа Конкурса утверждаются рабочей группой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по организации и проведению образовательно-просветительских мероприятий проекта «Без срока давности» в субъекте Российской Федерации из числа руководителей и педагогических работников образовательных организаций, имеющих стаж педагогической и (или) руководящей работы не менее 5 лет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(или) ведомственные награды федеральных органов исполнительной власти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и (или) органов исполнительной власти субъектов Российской Федерации, осуществляющих государственное управление</w:t>
      </w:r>
      <w:proofErr w:type="gram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в сфере образования.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Члены жюри II этапа Конкурса и фестиваля исследовательских проектов утверждаются организационным комитетом Конкурса из числа руководителей и педагогических работников образовательных организаций и (или) имеющих государственные ведомственные почетные звания («заслуженный учитель …», «почетный работник …» и т. п.) либо ученую степень доктора или кандидата наук.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Член жюри Конкурса: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знакомится с критериями оценки исследовательских проектов, установленными в Положении о Конкурсе;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оценивает отобранную методом случайной выборки (в рамках одной возрастной группы) часть представленных на Конкурс исследовательских проектов в соответствии с утвержденными критериями.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Член жюри фестиваля исследовательских проектов оценивает все исследовательские проекты, отобранные на соответствующий фестиваль.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Каждый исследовательский проект на I и II этапах Конкурса оценивают не менее 2 членов жюри. В случае значительных расхождений в их оценках (более 3 баллов) исследовательский проект рассматривается третьим членом жюри.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Протоколы заседаний жюри I этапа Конкурса подписываются председателями жюри и организаторами Конкурса в субъектах Российской Федерации, протоколы заседаний жюри II этапа Конкурса – председателем жюри II этапа Конкурса, протоколы заседаний фестиваля исследовательских проектов – председателем жюри фестиваля исследовательских проектов.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На I и II этапах Конкурса на основании полученных баллов составляется рейтинговый список участников Конкурса по каждой подпрограмме в соответствии с пунктом 4.1 Положения. На II этап Конкурса от субъекта Российской Федерации через личный кабинет Координатора на сайте Конкурса принимаются 6 исследовательских проектов (по одному в рамках каждой из 6 подпрограмм), набравших наибольшее количество баллов по результатам оценки в субъекте Российской Федерации. На III этап (фестиваль исследовательских проектов) отбирается 5 групп финалистов II этапа Конкурса по каждой из 6 подпрограмм.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Апелляции по итогам оценки исследовательских проектов</w:t>
      </w: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br/>
        <w:t>не принимаются.</w:t>
      </w:r>
    </w:p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В целях </w:t>
      </w:r>
      <w:proofErr w:type="spellStart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критериальной</w:t>
      </w:r>
      <w:proofErr w:type="spellEnd"/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 xml:space="preserve"> оценки исследовательских проектов рекомендуется учитывать следующие показатели: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2614"/>
        <w:gridCol w:w="4725"/>
        <w:gridCol w:w="1442"/>
      </w:tblGrid>
      <w:tr w:rsidR="00876BE7" w:rsidRPr="00876BE7" w:rsidTr="00876BE7">
        <w:tc>
          <w:tcPr>
            <w:tcW w:w="502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2261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Критерий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Оценка в баллах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 xml:space="preserve">Соответствие формальным требованиям, указанным в описании подпрограмм </w:t>
            </w:r>
            <w:r w:rsidRPr="00876BE7">
              <w:rPr>
                <w:rFonts w:eastAsia="Times New Roman" w:cs="Times New Roman"/>
                <w:szCs w:val="24"/>
                <w:lang w:eastAsia="ru-RU"/>
              </w:rPr>
              <w:lastRenderedPageBreak/>
              <w:t>конкурса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Соответствие анализируемых источников выбранной подпрограмме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Использование необходимого количества источников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Наличие сравнительного анализа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Количество и глубина анализа использованных источников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Установление происхождения источников (авторство, время, место</w:t>
            </w:r>
            <w:r w:rsidRPr="00876BE7">
              <w:rPr>
                <w:rFonts w:eastAsia="Times New Roman" w:cs="Times New Roman"/>
                <w:szCs w:val="24"/>
                <w:lang w:eastAsia="ru-RU"/>
              </w:rPr>
              <w:br/>
              <w:t>и цель создания)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Определение степени привязанности источников к их происхождению (мировоззренческой позиции их авторов)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Выявление допущенных искажений исторической действительности (фальсификаций, заблуждений или пропущенной информации)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Логичность и обоснованность выводов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Практичность и результативность организации исследовательского проекта и технологии анализа источников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 xml:space="preserve">Соотнесение предпринятых работ с </w:t>
            </w:r>
            <w:proofErr w:type="spellStart"/>
            <w:r w:rsidRPr="00876BE7">
              <w:rPr>
                <w:rFonts w:eastAsia="Times New Roman" w:cs="Times New Roman"/>
                <w:szCs w:val="24"/>
                <w:lang w:eastAsia="ru-RU"/>
              </w:rPr>
              <w:t>целеполаганием</w:t>
            </w:r>
            <w:proofErr w:type="spellEnd"/>
            <w:r w:rsidRPr="00876BE7">
              <w:rPr>
                <w:rFonts w:eastAsia="Times New Roman" w:cs="Times New Roman"/>
                <w:szCs w:val="24"/>
                <w:lang w:eastAsia="ru-RU"/>
              </w:rPr>
              <w:t xml:space="preserve"> исследовательского проекта и задачами подпрограммы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Убедительное обоснование промежуточных и итоговых выводов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Новизна исследования в выборе источников и (или) выводах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Введение в научный оборот новых или малоизученных в научной литературе источников исторической памяти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Оригинальность подходов к анализу выбранных источников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Наличие нестандартных выводов</w:t>
            </w:r>
            <w:r w:rsidRPr="00876BE7">
              <w:rPr>
                <w:rFonts w:eastAsia="Times New Roman" w:cs="Times New Roman"/>
                <w:szCs w:val="24"/>
                <w:lang w:eastAsia="ru-RU"/>
              </w:rPr>
              <w:br/>
              <w:t>по итогам анализа источников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Грамотность и научно-популярный стиль изложения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Соблюдение языковых норм (грамматических, орфоэпических</w:t>
            </w:r>
            <w:r w:rsidRPr="00876BE7">
              <w:rPr>
                <w:rFonts w:eastAsia="Times New Roman" w:cs="Times New Roman"/>
                <w:szCs w:val="24"/>
                <w:lang w:eastAsia="ru-RU"/>
              </w:rPr>
              <w:br/>
              <w:t>и др.)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Свободное владение литературным русским языком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Адекватное использование научной терминологии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Наглядность процесса и результатов исследования (в том числе демонстрация фрагментов использованных источников)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Описание распределения между участниками исследовательского проекта конкретных видов работ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Демонстрация анализируемых первоисточников (фрагментов текста, изображений и т. д.)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Доходчивость объяснения и визуализация технологии анализа источников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Глубина эмоционально-психологического воздействия на зрителей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Пробуждение интереса к теме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Формирование чувства сопереживания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Влияние на эмоциональную память (способность памяти запоминать пережитые эмоции и чувства)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502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1" w:type="dxa"/>
            <w:vMerge w:val="restart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Описание технологии анализа соответствующего комплекса источников</w:t>
            </w: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Выявление специфики выбранного комплекса источников по сравнению с другими видами источников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Научность и полнота алгоритма анализа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  <w:tr w:rsidR="00876BE7" w:rsidRPr="00876BE7" w:rsidTr="00876BE7"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Возможность применения технологии для анализа других источников, относящихся к данной группе</w:t>
            </w:r>
          </w:p>
        </w:tc>
        <w:tc>
          <w:tcPr>
            <w:tcW w:w="1247" w:type="dxa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76BE7" w:rsidRPr="00876BE7" w:rsidRDefault="00876BE7" w:rsidP="00876BE7">
            <w:pPr>
              <w:spacing w:after="204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76BE7">
              <w:rPr>
                <w:rFonts w:eastAsia="Times New Roman" w:cs="Times New Roman"/>
                <w:szCs w:val="24"/>
                <w:lang w:eastAsia="ru-RU"/>
              </w:rPr>
              <w:t>1–5</w:t>
            </w:r>
          </w:p>
        </w:tc>
      </w:tr>
    </w:tbl>
    <w:p w:rsidR="00876BE7" w:rsidRPr="00876BE7" w:rsidRDefault="00876BE7" w:rsidP="00876BE7">
      <w:pPr>
        <w:shd w:val="clear" w:color="auto" w:fill="FFFFFF"/>
        <w:spacing w:after="204" w:line="240" w:lineRule="auto"/>
        <w:jc w:val="both"/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</w:pPr>
      <w:r w:rsidRPr="00876BE7">
        <w:rPr>
          <w:rFonts w:ascii="Open Sans" w:eastAsia="Times New Roman" w:hAnsi="Open Sans" w:cs="Times New Roman"/>
          <w:color w:val="464646"/>
          <w:sz w:val="20"/>
          <w:szCs w:val="20"/>
          <w:lang w:eastAsia="ru-RU"/>
        </w:rPr>
        <w:t> </w:t>
      </w:r>
    </w:p>
    <w:p w:rsidR="00CA31B4" w:rsidRDefault="00CA31B4"/>
    <w:sectPr w:rsidR="00CA31B4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6EE"/>
    <w:multiLevelType w:val="multilevel"/>
    <w:tmpl w:val="AB183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17D80"/>
    <w:multiLevelType w:val="multilevel"/>
    <w:tmpl w:val="B820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BE7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602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2AB7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20794"/>
    <w:rsid w:val="003216A3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1F8B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76BE7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4FE1"/>
    <w:rsid w:val="00C4269B"/>
    <w:rsid w:val="00C43756"/>
    <w:rsid w:val="00C44FAC"/>
    <w:rsid w:val="00C50E2F"/>
    <w:rsid w:val="00C65EFF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702B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B4"/>
  </w:style>
  <w:style w:type="paragraph" w:styleId="1">
    <w:name w:val="heading 1"/>
    <w:basedOn w:val="a"/>
    <w:link w:val="10"/>
    <w:uiPriority w:val="9"/>
    <w:qFormat/>
    <w:rsid w:val="00876BE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B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876BE7"/>
  </w:style>
  <w:style w:type="paragraph" w:styleId="a3">
    <w:name w:val="Normal (Web)"/>
    <w:basedOn w:val="a"/>
    <w:uiPriority w:val="99"/>
    <w:semiHidden/>
    <w:unhideWhenUsed/>
    <w:rsid w:val="00876B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6BE7"/>
    <w:rPr>
      <w:b/>
      <w:bCs/>
    </w:rPr>
  </w:style>
  <w:style w:type="character" w:styleId="a5">
    <w:name w:val="Emphasis"/>
    <w:basedOn w:val="a0"/>
    <w:uiPriority w:val="20"/>
    <w:qFormat/>
    <w:rsid w:val="00876BE7"/>
    <w:rPr>
      <w:i/>
      <w:iCs/>
    </w:rPr>
  </w:style>
  <w:style w:type="character" w:styleId="a6">
    <w:name w:val="Hyperlink"/>
    <w:basedOn w:val="a0"/>
    <w:uiPriority w:val="99"/>
    <w:semiHidden/>
    <w:unhideWhenUsed/>
    <w:rsid w:val="00876B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92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gazette.ru/" TargetMode="External"/><Relationship Id="rId13" Type="http://schemas.openxmlformats.org/officeDocument/2006/relationships/hyperlink" Target="https://www.youtube.com/c/MosfilmRuOffici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beda.elar.ru/" TargetMode="External"/><Relationship Id="rId12" Type="http://schemas.openxmlformats.org/officeDocument/2006/relationships/hyperlink" Target="http://militera.li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mnite-na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oryrussia.org/tsekh-istorikov/archives.html" TargetMode="External"/><Relationship Id="rId11" Type="http://schemas.openxmlformats.org/officeDocument/2006/relationships/hyperlink" Target="https://waralbu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ulture.ru/live/cinema/movies/country-sssr/genre-voenniy?page=1" TargetMode="External"/><Relationship Id="rId10" Type="http://schemas.openxmlformats.org/officeDocument/2006/relationships/hyperlink" Target="http://fotohron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emember.ru/" TargetMode="External"/><Relationship Id="rId14" Type="http://schemas.openxmlformats.org/officeDocument/2006/relationships/hyperlink" Target="https://www.youtube.com/channel/UCxRA30zJ2h9Cue_sInNUQ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3429</Words>
  <Characters>19550</Characters>
  <Application>Microsoft Office Word</Application>
  <DocSecurity>0</DocSecurity>
  <Lines>162</Lines>
  <Paragraphs>45</Paragraphs>
  <ScaleCrop>false</ScaleCrop>
  <Company>RePack by SPecialiST</Company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2022-03-01T12:07:00Z</dcterms:created>
  <dcterms:modified xsi:type="dcterms:W3CDTF">2022-03-01T12:07:00Z</dcterms:modified>
</cp:coreProperties>
</file>